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Pr="00174FC5" w:rsidRDefault="0048249A" w:rsidP="00174FC5">
      <w:pPr>
        <w:pStyle w:val="Titolo"/>
        <w:pageBreakBefore/>
        <w:ind w:left="0" w:firstLine="0"/>
        <w:rPr>
          <w:rFonts w:ascii="Titillium" w:hAnsi="Titillium"/>
          <w:sz w:val="20"/>
          <w:szCs w:val="20"/>
        </w:rPr>
      </w:pPr>
      <w:r w:rsidRPr="00174FC5">
        <w:rPr>
          <w:rFonts w:ascii="Titillium" w:hAnsi="Titillium"/>
          <w:sz w:val="20"/>
          <w:szCs w:val="20"/>
        </w:rPr>
        <w:t xml:space="preserve">Scheda di sintesi sulla rilevazione </w:t>
      </w:r>
      <w:r w:rsidR="00174FC5">
        <w:rPr>
          <w:rFonts w:ascii="Titillium" w:hAnsi="Titillium"/>
          <w:sz w:val="20"/>
          <w:szCs w:val="20"/>
        </w:rPr>
        <w:t>dell’RPCT</w:t>
      </w: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571082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La rilevazione è stata effettuata in data</w:t>
      </w:r>
      <w:r w:rsidR="0048249A" w:rsidRPr="0041405A">
        <w:rPr>
          <w:rFonts w:ascii="Titillium" w:hAnsi="Titillium"/>
          <w:sz w:val="20"/>
          <w:szCs w:val="20"/>
        </w:rPr>
        <w:t xml:space="preserve"> </w:t>
      </w:r>
      <w:r>
        <w:rPr>
          <w:rFonts w:ascii="Titillium" w:hAnsi="Titillium"/>
          <w:sz w:val="20"/>
          <w:szCs w:val="20"/>
        </w:rPr>
        <w:t>25/05/2021</w:t>
      </w:r>
    </w:p>
    <w:p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174FC5">
        <w:rPr>
          <w:rFonts w:ascii="Titillium" w:hAnsi="Titillium"/>
          <w:sz w:val="20"/>
          <w:szCs w:val="20"/>
        </w:rPr>
        <w:t xml:space="preserve"> 20/03/2021 – </w:t>
      </w:r>
      <w:r w:rsidR="00571082">
        <w:rPr>
          <w:rFonts w:ascii="Titillium" w:hAnsi="Titillium"/>
          <w:sz w:val="20"/>
          <w:szCs w:val="20"/>
        </w:rPr>
        <w:t>25/05/2021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:rsidR="00571082" w:rsidRDefault="00571082" w:rsidP="00571082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</w:p>
    <w:p w:rsidR="00571082" w:rsidRPr="0041405A" w:rsidRDefault="00571082" w:rsidP="00571082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Estensione della rilevazione (nel solo caso di amministrazioni/enti con uffici periferici)</w:t>
      </w:r>
    </w:p>
    <w:p w:rsidR="00571082" w:rsidRPr="0041405A" w:rsidRDefault="00571082" w:rsidP="00571082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571082" w:rsidRPr="00571082" w:rsidRDefault="00571082" w:rsidP="00571082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571082">
        <w:rPr>
          <w:rFonts w:ascii="Titillium" w:hAnsi="Titillium"/>
          <w:sz w:val="20"/>
          <w:szCs w:val="20"/>
        </w:rPr>
        <w:t>L’Ordine dei Medici Chirurghi e degli Odontoiatri di Modena è un Ente di diritto pubblico non economico di ridotte dimensioni e non è dotato di uffici periferici.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571082" w:rsidRPr="00571082" w:rsidRDefault="00571082" w:rsidP="00571082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571082">
        <w:rPr>
          <w:rFonts w:ascii="Titillium" w:hAnsi="Titillium"/>
          <w:sz w:val="20"/>
          <w:szCs w:val="20"/>
        </w:rPr>
        <w:t>La rilevazione è stata condotta dal Responsabile della prevenzione della corruzione e della trasparenza, per riscontrare l’adempimento degli obblighi di pubblicazione, sulla base della verifica sui dati e sull’esame della documentazione pubblicata sul sito istituzionale, sezione Amministrazione trasparente, di colloqui con i responsabili della trasmissione e della pubblicazione dei dati e tramite la verifica diretta sul sito istituzionale.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174FC5" w:rsidRPr="00174FC5" w:rsidRDefault="00174FC5" w:rsidP="00174FC5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174FC5">
        <w:rPr>
          <w:rFonts w:ascii="Titillium" w:hAnsi="Titillium"/>
          <w:sz w:val="20"/>
          <w:szCs w:val="20"/>
        </w:rPr>
        <w:t>Nella documentazione caricata negli anni antecedenti al 2019 sono presenti documenti in formato considerato non aperto;</w:t>
      </w:r>
    </w:p>
    <w:p w:rsidR="00174FC5" w:rsidRPr="00174FC5" w:rsidRDefault="00174FC5" w:rsidP="00174FC5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174FC5">
        <w:rPr>
          <w:rFonts w:ascii="Titillium" w:hAnsi="Titillium"/>
          <w:sz w:val="20"/>
          <w:szCs w:val="20"/>
        </w:rPr>
        <w:t>Nella documentazione caricata negli anni antecedenti al 2019 non è presente la data di aggiornamento/inserimento del dato.</w:t>
      </w:r>
    </w:p>
    <w:p w:rsidR="00571082" w:rsidRPr="00571082" w:rsidRDefault="00571082" w:rsidP="00571082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571082">
        <w:rPr>
          <w:rFonts w:ascii="Titillium" w:hAnsi="Titillium"/>
          <w:sz w:val="20"/>
          <w:szCs w:val="20"/>
        </w:rPr>
        <w:t>Presenza di riscontro di “non applicabilità” in alcune delle sezioni verificate, in quanto il c. 2-bis dell’art. 2 del D.L. 101/13, inserito nella legge di conversione 30 ottobre 2013, n. 125 e smi, esclude gli Ordini professionali dal campo di applicazione dell’Art. 4 “Ciclo di gestione della performance”.</w:t>
      </w:r>
    </w:p>
    <w:p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sectPr w:rsidR="00C27B23" w:rsidRPr="0041405A" w:rsidSect="007D5B3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8A5" w:rsidRDefault="00B508A5">
      <w:pPr>
        <w:spacing w:after="0" w:line="240" w:lineRule="auto"/>
      </w:pPr>
      <w:r>
        <w:separator/>
      </w:r>
    </w:p>
  </w:endnote>
  <w:endnote w:type="continuationSeparator" w:id="0">
    <w:p w:rsidR="00B508A5" w:rsidRDefault="00B5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8A5" w:rsidRDefault="00B508A5">
      <w:pPr>
        <w:spacing w:after="0" w:line="240" w:lineRule="auto"/>
      </w:pPr>
      <w:r>
        <w:separator/>
      </w:r>
    </w:p>
  </w:footnote>
  <w:footnote w:type="continuationSeparator" w:id="0">
    <w:p w:rsidR="00B508A5" w:rsidRDefault="00B5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082" w:rsidRDefault="00571082" w:rsidP="00571082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19050" t="0" r="0" b="0"/>
          <wp:wrapSquare wrapText="bothSides"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1082" w:rsidRDefault="00571082" w:rsidP="00571082">
    <w:pPr>
      <w:pStyle w:val="Intestazione"/>
      <w:jc w:val="right"/>
      <w:rPr>
        <w:rFonts w:ascii="Garamond" w:hAnsi="Garamond"/>
        <w:b/>
      </w:rPr>
    </w:pPr>
  </w:p>
  <w:p w:rsidR="00571082" w:rsidRDefault="00571082" w:rsidP="00571082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571082" w:rsidRDefault="00571082" w:rsidP="00571082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 ANAC n. 294/2021</w:t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174FC5" w:rsidRDefault="00174FC5" w:rsidP="00174FC5">
    <w:pPr>
      <w:pStyle w:val="Intestazione"/>
    </w:pPr>
    <w:r>
      <w:rPr>
        <w:rFonts w:ascii="Garamond" w:hAnsi="Garamond"/>
        <w:b/>
      </w:rPr>
      <w:tab/>
    </w:r>
    <w:r>
      <w:rPr>
        <w:noProof/>
        <w:lang w:eastAsia="it-IT"/>
      </w:rPr>
      <w:drawing>
        <wp:inline distT="0" distB="0" distL="0" distR="0">
          <wp:extent cx="4333875" cy="1152525"/>
          <wp:effectExtent l="19050" t="0" r="9525" b="0"/>
          <wp:docPr id="1" name="Immagine 1" descr="Intestazion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040F20"/>
    <w:rsid w:val="000F2C0E"/>
    <w:rsid w:val="0016468A"/>
    <w:rsid w:val="00174FC5"/>
    <w:rsid w:val="0024134D"/>
    <w:rsid w:val="002C572E"/>
    <w:rsid w:val="003E1CF5"/>
    <w:rsid w:val="0041405A"/>
    <w:rsid w:val="00416AD0"/>
    <w:rsid w:val="0048249A"/>
    <w:rsid w:val="004833D5"/>
    <w:rsid w:val="004F18CD"/>
    <w:rsid w:val="00571082"/>
    <w:rsid w:val="0060106A"/>
    <w:rsid w:val="006E496C"/>
    <w:rsid w:val="007052EA"/>
    <w:rsid w:val="00713BFD"/>
    <w:rsid w:val="007A107C"/>
    <w:rsid w:val="007D5B3A"/>
    <w:rsid w:val="00837860"/>
    <w:rsid w:val="0085206C"/>
    <w:rsid w:val="00861FE1"/>
    <w:rsid w:val="008A0378"/>
    <w:rsid w:val="00955140"/>
    <w:rsid w:val="009776D5"/>
    <w:rsid w:val="009A5646"/>
    <w:rsid w:val="009C05D1"/>
    <w:rsid w:val="009C6FAC"/>
    <w:rsid w:val="00A52DF7"/>
    <w:rsid w:val="00AF790D"/>
    <w:rsid w:val="00B508A5"/>
    <w:rsid w:val="00C171E3"/>
    <w:rsid w:val="00C27B23"/>
    <w:rsid w:val="00C32BE7"/>
    <w:rsid w:val="00D27496"/>
    <w:rsid w:val="00E37F9C"/>
    <w:rsid w:val="00FC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D5B3A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7D5B3A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7D5B3A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7D5B3A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7D5B3A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uiPriority w:val="99"/>
    <w:rsid w:val="007D5B3A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7D5B3A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7D5B3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7D5B3A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7D5B3A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7D5B3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7D5B3A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7D5B3A"/>
    <w:rPr>
      <w:rFonts w:ascii="Courier New" w:hAnsi="Courier New" w:cs="Courier New"/>
    </w:rPr>
  </w:style>
  <w:style w:type="character" w:customStyle="1" w:styleId="WWCharLFO13LVL3">
    <w:name w:val="WW_CharLFO13LVL3"/>
    <w:rsid w:val="007D5B3A"/>
    <w:rPr>
      <w:rFonts w:ascii="Wingdings" w:hAnsi="Wingdings"/>
    </w:rPr>
  </w:style>
  <w:style w:type="character" w:customStyle="1" w:styleId="WWCharLFO13LVL4">
    <w:name w:val="WW_CharLFO13LVL4"/>
    <w:rsid w:val="007D5B3A"/>
    <w:rPr>
      <w:rFonts w:ascii="Symbol" w:hAnsi="Symbol"/>
    </w:rPr>
  </w:style>
  <w:style w:type="character" w:customStyle="1" w:styleId="WWCharLFO13LVL5">
    <w:name w:val="WW_CharLFO13LVL5"/>
    <w:rsid w:val="007D5B3A"/>
    <w:rPr>
      <w:rFonts w:ascii="Courier New" w:hAnsi="Courier New" w:cs="Courier New"/>
    </w:rPr>
  </w:style>
  <w:style w:type="character" w:customStyle="1" w:styleId="WWCharLFO13LVL6">
    <w:name w:val="WW_CharLFO13LVL6"/>
    <w:rsid w:val="007D5B3A"/>
    <w:rPr>
      <w:rFonts w:ascii="Wingdings" w:hAnsi="Wingdings"/>
    </w:rPr>
  </w:style>
  <w:style w:type="character" w:customStyle="1" w:styleId="WWCharLFO13LVL7">
    <w:name w:val="WW_CharLFO13LVL7"/>
    <w:rsid w:val="007D5B3A"/>
    <w:rPr>
      <w:rFonts w:ascii="Symbol" w:hAnsi="Symbol"/>
    </w:rPr>
  </w:style>
  <w:style w:type="character" w:customStyle="1" w:styleId="WWCharLFO13LVL8">
    <w:name w:val="WW_CharLFO13LVL8"/>
    <w:rsid w:val="007D5B3A"/>
    <w:rPr>
      <w:rFonts w:ascii="Courier New" w:hAnsi="Courier New" w:cs="Courier New"/>
    </w:rPr>
  </w:style>
  <w:style w:type="character" w:customStyle="1" w:styleId="WWCharLFO13LVL9">
    <w:name w:val="WW_CharLFO13LVL9"/>
    <w:rsid w:val="007D5B3A"/>
    <w:rPr>
      <w:rFonts w:ascii="Wingdings" w:hAnsi="Wingdings"/>
    </w:rPr>
  </w:style>
  <w:style w:type="character" w:customStyle="1" w:styleId="WWCharLFO15LVL1">
    <w:name w:val="WW_CharLFO15LVL1"/>
    <w:rsid w:val="007D5B3A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7D5B3A"/>
    <w:rPr>
      <w:rFonts w:ascii="Courier New" w:hAnsi="Courier New" w:cs="Courier New"/>
    </w:rPr>
  </w:style>
  <w:style w:type="character" w:customStyle="1" w:styleId="WWCharLFO15LVL3">
    <w:name w:val="WW_CharLFO15LVL3"/>
    <w:rsid w:val="007D5B3A"/>
    <w:rPr>
      <w:rFonts w:ascii="Wingdings" w:hAnsi="Wingdings"/>
    </w:rPr>
  </w:style>
  <w:style w:type="character" w:customStyle="1" w:styleId="WWCharLFO15LVL4">
    <w:name w:val="WW_CharLFO15LVL4"/>
    <w:rsid w:val="007D5B3A"/>
    <w:rPr>
      <w:rFonts w:ascii="Symbol" w:hAnsi="Symbol"/>
    </w:rPr>
  </w:style>
  <w:style w:type="character" w:customStyle="1" w:styleId="WWCharLFO15LVL5">
    <w:name w:val="WW_CharLFO15LVL5"/>
    <w:rsid w:val="007D5B3A"/>
    <w:rPr>
      <w:rFonts w:ascii="Courier New" w:hAnsi="Courier New" w:cs="Courier New"/>
    </w:rPr>
  </w:style>
  <w:style w:type="character" w:customStyle="1" w:styleId="WWCharLFO15LVL6">
    <w:name w:val="WW_CharLFO15LVL6"/>
    <w:rsid w:val="007D5B3A"/>
    <w:rPr>
      <w:rFonts w:ascii="Wingdings" w:hAnsi="Wingdings"/>
    </w:rPr>
  </w:style>
  <w:style w:type="character" w:customStyle="1" w:styleId="WWCharLFO15LVL7">
    <w:name w:val="WW_CharLFO15LVL7"/>
    <w:rsid w:val="007D5B3A"/>
    <w:rPr>
      <w:rFonts w:ascii="Symbol" w:hAnsi="Symbol"/>
    </w:rPr>
  </w:style>
  <w:style w:type="character" w:customStyle="1" w:styleId="WWCharLFO15LVL8">
    <w:name w:val="WW_CharLFO15LVL8"/>
    <w:rsid w:val="007D5B3A"/>
    <w:rPr>
      <w:rFonts w:ascii="Courier New" w:hAnsi="Courier New" w:cs="Courier New"/>
    </w:rPr>
  </w:style>
  <w:style w:type="character" w:customStyle="1" w:styleId="WWCharLFO15LVL9">
    <w:name w:val="WW_CharLFO15LVL9"/>
    <w:rsid w:val="007D5B3A"/>
    <w:rPr>
      <w:rFonts w:ascii="Wingdings" w:hAnsi="Wingdings"/>
    </w:rPr>
  </w:style>
  <w:style w:type="character" w:customStyle="1" w:styleId="Caratteredellanota">
    <w:name w:val="Carattere della nota"/>
    <w:rsid w:val="007D5B3A"/>
  </w:style>
  <w:style w:type="paragraph" w:styleId="Testonotaapidipagina">
    <w:name w:val="footnote text"/>
    <w:basedOn w:val="Normale"/>
    <w:rsid w:val="007D5B3A"/>
  </w:style>
  <w:style w:type="paragraph" w:styleId="Paragrafoelenco">
    <w:name w:val="List Paragraph"/>
    <w:basedOn w:val="Normale"/>
    <w:uiPriority w:val="34"/>
    <w:rsid w:val="007D5B3A"/>
    <w:pPr>
      <w:ind w:left="357" w:hanging="357"/>
    </w:pPr>
  </w:style>
  <w:style w:type="paragraph" w:styleId="Titolo">
    <w:name w:val="Title"/>
    <w:basedOn w:val="Normale"/>
    <w:next w:val="Normale"/>
    <w:autoRedefine/>
    <w:uiPriority w:val="10"/>
    <w:rsid w:val="007D5B3A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7D5B3A"/>
  </w:style>
  <w:style w:type="paragraph" w:styleId="Intestazione">
    <w:name w:val="header"/>
    <w:basedOn w:val="Normale"/>
    <w:link w:val="IntestazioneCarattere1"/>
    <w:uiPriority w:val="99"/>
    <w:rsid w:val="007D5B3A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7D5B3A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7D5B3A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7D5B3A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7D5B3A"/>
    <w:rPr>
      <w:b/>
      <w:bCs/>
    </w:rPr>
  </w:style>
  <w:style w:type="paragraph" w:styleId="Testofumetto">
    <w:name w:val="Balloon Text"/>
    <w:basedOn w:val="Normale"/>
    <w:rsid w:val="007D5B3A"/>
    <w:pPr>
      <w:spacing w:after="0"/>
    </w:pPr>
    <w:rPr>
      <w:rFonts w:ascii="Tahoma" w:hAnsi="Tahoma" w:cs="Tahoma"/>
      <w:sz w:val="16"/>
      <w:szCs w:val="16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571082"/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OMCEOMO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Simonetta Mati</cp:lastModifiedBy>
  <cp:revision>2</cp:revision>
  <cp:lastPrinted>2021-06-23T07:26:00Z</cp:lastPrinted>
  <dcterms:created xsi:type="dcterms:W3CDTF">2022-06-15T10:25:00Z</dcterms:created>
  <dcterms:modified xsi:type="dcterms:W3CDTF">2022-06-15T10:25:00Z</dcterms:modified>
</cp:coreProperties>
</file>